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000000"/>
          <w:kern w:val="0"/>
          <w:sz w:val="30"/>
          <w:szCs w:val="30"/>
          <w:bdr w:val="none" w:color="auto" w:sz="0" w:space="0"/>
          <w:shd w:val="clear" w:fill="F4F6F6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/>
        <w:jc w:val="center"/>
        <w:rPr>
          <w:rFonts w:hint="default" w:ascii="Tahoma" w:hAnsi="Tahoma" w:eastAsia="Tahoma" w:cs="Tahoma"/>
        </w:rPr>
      </w:pPr>
      <w:r>
        <w:rPr>
          <w:rStyle w:val="5"/>
          <w:rFonts w:hint="default" w:ascii="Tahoma" w:hAnsi="Tahoma" w:eastAsia="Tahoma" w:cs="Tahoma"/>
          <w:spacing w:val="-20"/>
          <w:kern w:val="0"/>
          <w:sz w:val="32"/>
          <w:szCs w:val="32"/>
          <w:bdr w:val="none" w:color="auto" w:sz="0" w:space="0"/>
          <w:shd w:val="clear" w:fill="F4F6F6"/>
          <w:lang w:val="en-US" w:eastAsia="zh-CN" w:bidi="ar"/>
        </w:rPr>
        <w:t>山西省申请教师资格人员体检标准及办法（修订）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一、为了顺利实施教师资格制度，根据《&lt;教师资格条例&gt;实施办法》和《山西省实施教师资格制度细则》，参照高等师范院校招生体检工作的有关规定，结合我省实际情况，特制定本标准及办法。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二、参加体检的人员范围：申请各类教师资格的人员。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三、体检标准：体检的结论分合格、不合格两种，凡有下列情况之一者，均为体检不合格。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1、器质性心脏病伴心功能不全者。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2、血压超过18.66/12KP（140/90毫米汞柱）、低于11.46/7.4KP（86/56毫米汞柱）；单项收缩压超过21.33KP（160毫米汞柱），低于10.66KP（80毫米汞柱）；舒张压超过12KP（90毫米汞柱），低于6.66KP（50毫米汞柱）。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3、结核病未治愈者。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4、支气管扩张病，未治愈者。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5、慢性肝炎肝功能不正常者（肝功能正常的乙型肝炎病毒携带者除外）。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6、有各种恶性肿瘤病史者。各种结缔组织疾病（胶原疾病）。内分泌系统疾病。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7、各种肾脏疾病伴肾功能不全者。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8、有癫痫病史、精神病史、癔病史、夜游症。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9、肺切除超过一叶；肺不张一叶以上。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10、类风湿病影响肢体功能者；慢性骨髓炎。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11、麻风病患者，未治愈；性病患者。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12、青光眼；视网膜、视神经疾病（陈旧性或稳定性眼底病除外）。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13、两眼矫正视力之和低于5.0者（体检实施中遇此情况，用标准对数视力表中相应的小数记录法，记录两眼视力之和再折算成5分记录数值）。根据专业要求检测辨色力不合格者。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14、两耳听力均低于2米。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15、上肢或下肢不能运动；两下肢不等长超过5厘米/脊柱侧弯超过4厘米，肌力二级以下；显著胸廓畸形。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16、严重的口吃，口腔有生理缺陷及耳、鼻、喉疾病之一妨碍教学工作者。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17、除以上各项外，有影响健康和教学工作的疾病。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56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spacing w:val="-6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四、体检机构：由各级教师资格认定机构指定的医院负责体检。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五、体检要求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72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spacing w:val="-2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1、各地、各高校要做好申请教师资格人员体检的宣传教育工作，主动协调安排体检的相关事宜、督促申请人员按时参加体检。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2、承担体检任务的医院要安排一名业务副院长负责体检工作，并选调政治思想好、工作责任心强、作风正派、业务水平高的各科医师、护士和工作人员组成体检队伍。人员安排要注意新老搭配和相对稳定。体检各环节的工作应在5个工作日内完成，遇有特殊情况要及时告知申请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3、体检前应组织全体检查人员认真学习本体检标准及办法，对检查人员进行必要的培训，制定相应的措施和奖惩制度。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4、体检过程中，体检表、检验单应由指定医院专人传递和集中保管，不得由申请人员自带。进行x光胸透时，要指定专人组织，排好顺序逐个对照检查，以防漏检或作弊。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56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spacing w:val="-6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5、参加体检的各科医生对本科所检的项目负责。不要漏填或错填。发现阳性体征，一律如实记入体检表内，不得随意涂改。如确需更正的，应将原结果划掉但要保证原结果清晰可见，然后在右边写上更正的结论或数据，主检医生签名，并加盖体检医院公章，以示负责。疾病名称、化验结果体检结论，均应用中文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6、体检中如发现有疑难问题，应集体会诊或进一步检查后再下结论。若因设备条件限制或会诊仍难判断者，到教师资格认定机构指定的医院复查。复查时，只限单科复查，并用原体检表。复查时要指派专人陪同，指定复查医院否定体检医院的诊断结论时，要在诊断证明书上详注复查结果。申请认定教师资格的人员自行取得的任何检查材料，均不得作为教师资格认定体检依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7、体检工作人员要准备好当日检查所需器材、药液和试剂。器械应及时消毒，仪表要每日校正，试剂要保证其浓度，确保检查结果的准确。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8、负责医师及时综合各科检查结果，全面检查无误后作出“合格”或“不合格”的结论，填写在结论栏内。医院根据结论，对受检人员健康状况做出“合格”或“不合格”的意见，加盖公章，并通知教师资格认定机构领取体检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9、承担体检任务的医院和医师要严格把关，不得弄虚作假。如有违反规定弄虚作假者，除申请人的体检结果无效外，取消体检医院的检查资格。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 w:firstLine="480"/>
        <w:jc w:val="left"/>
      </w:pPr>
      <w:r>
        <w:rPr>
          <w:rFonts w:hint="default" w:ascii="Tahoma" w:hAnsi="Tahoma" w:eastAsia="Tahoma" w:cs="Tahoma"/>
          <w:color w:val="333333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六、本办法自发文之日起执行。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64A1D"/>
    <w:rsid w:val="05A6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52525"/>
      <w:u w:val="none"/>
    </w:rPr>
  </w:style>
  <w:style w:type="character" w:styleId="7">
    <w:name w:val="Hyperlink"/>
    <w:basedOn w:val="4"/>
    <w:uiPriority w:val="0"/>
    <w:rPr>
      <w:color w:val="252525"/>
      <w:u w:val="none"/>
    </w:rPr>
  </w:style>
  <w:style w:type="character" w:customStyle="1" w:styleId="8">
    <w:name w:val="time"/>
    <w:basedOn w:val="4"/>
    <w:uiPriority w:val="0"/>
    <w:rPr>
      <w:color w:val="999999"/>
      <w:sz w:val="18"/>
      <w:szCs w:val="18"/>
    </w:rPr>
  </w:style>
  <w:style w:type="character" w:customStyle="1" w:styleId="9">
    <w:name w:val="hot"/>
    <w:basedOn w:val="4"/>
    <w:uiPriority w:val="0"/>
  </w:style>
  <w:style w:type="character" w:customStyle="1" w:styleId="10">
    <w:name w:val="hot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2021-08-26T11:15:00Z</dcterms:created>
  <dc:creator>酷飒帅の小狮弟</dc:creator>
  <cp:lastModifiedBy>酷飒帅の小狮弟</cp:lastModifiedBy>
  <dcterms:modified xsi:type="dcterms:W3CDTF">2021-08-26T11:19:38Z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14839C70F85F42E7A93F1A9A9DC8726E</vt:lpwstr>
  </property>
</Properties>
</file>