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江西省中小学教师资格考试（笔试）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各考区咨询电话</w:t>
      </w:r>
    </w:p>
    <w:tbl>
      <w:tblPr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sz w:val="28"/>
                <w:szCs w:val="28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0798-8576257，8576269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0790-6205616、6457616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0793-8205617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u w:val="none"/>
                <w:bdr w:val="none" w:color="auto" w:sz="0" w:space="0"/>
              </w:rPr>
              <w:t>0794-8263419、8238285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E431AE3"/>
    <w:rsid w:val="07D578CA"/>
    <w:rsid w:val="6E4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2023-01-05T03:27:00Z</dcterms:created>
  <dc:creator>jy</dc:creator>
  <cp:lastModifiedBy>jy</cp:lastModifiedBy>
  <dcterms:modified xsi:type="dcterms:W3CDTF">2023-01-05T06:55:44Z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28074D6F331240E9958F75A47A2EC970</vt:lpwstr>
  </property>
</Properties>
</file>